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CE" w:rsidRPr="00285D55" w:rsidRDefault="00F305CE" w:rsidP="00F305CE">
      <w:pPr>
        <w:pStyle w:val="Heading1"/>
        <w:spacing w:line="360" w:lineRule="auto"/>
        <w:rPr>
          <w:rFonts w:ascii="Times New Roman" w:hAnsi="Times New Roman"/>
          <w:rtl/>
        </w:rPr>
      </w:pPr>
      <w:r w:rsidRPr="00285D55">
        <w:rPr>
          <w:rFonts w:ascii="Times New Roman" w:hAnsi="Times New Roman"/>
          <w:rtl/>
        </w:rPr>
        <w:t xml:space="preserve">برآورد رسوب با استفاده از مدل </w:t>
      </w:r>
      <w:r w:rsidRPr="00285D55">
        <w:rPr>
          <w:rFonts w:ascii="Times New Roman" w:hAnsi="Times New Roman"/>
        </w:rPr>
        <w:t>EPM</w:t>
      </w:r>
    </w:p>
    <w:p w:rsidR="00F305CE" w:rsidRPr="00E84FBD" w:rsidRDefault="005160AB" w:rsidP="008B4397">
      <w:pPr>
        <w:spacing w:line="360" w:lineRule="auto"/>
        <w:ind w:firstLine="567"/>
        <w:jc w:val="both"/>
        <w:rPr>
          <w:rFonts w:ascii="Times New Roman" w:hAnsi="Times New Roman"/>
          <w:rtl/>
        </w:rPr>
      </w:pPr>
      <w:r>
        <w:rPr>
          <w:rFonts w:ascii="Times New Roman" w:hAnsi="Times New Roman" w:hint="cs"/>
          <w:rtl/>
        </w:rPr>
        <w:t xml:space="preserve">یکی از روابطی که در برآورد فرسایش خاک و محاسبه تولید رسوب حوزه های آبخیز کاربرد زیادی دارد </w:t>
      </w:r>
      <w:r w:rsidR="00F305CE" w:rsidRPr="00E84FBD">
        <w:rPr>
          <w:rFonts w:ascii="Times New Roman" w:hAnsi="Times New Roman"/>
          <w:rtl/>
        </w:rPr>
        <w:t>مدل پتانسيل فرسايش</w:t>
      </w:r>
      <w:r w:rsidR="008B4397">
        <w:rPr>
          <w:rFonts w:ascii="Times New Roman" w:hAnsi="Times New Roman" w:hint="cs"/>
          <w:rtl/>
        </w:rPr>
        <w:t xml:space="preserve"> است</w:t>
      </w:r>
      <w:r w:rsidR="00F305CE" w:rsidRPr="00E84FBD">
        <w:rPr>
          <w:rFonts w:ascii="Times New Roman" w:hAnsi="Times New Roman"/>
          <w:rtl/>
        </w:rPr>
        <w:t xml:space="preserve"> که به اختصار به عنوان مدل </w:t>
      </w:r>
      <w:r w:rsidR="00F305CE" w:rsidRPr="00E84FBD">
        <w:rPr>
          <w:rFonts w:ascii="Times New Roman" w:hAnsi="Times New Roman"/>
        </w:rPr>
        <w:t>EPM</w:t>
      </w:r>
      <w:r w:rsidR="00F305CE" w:rsidRPr="00E84FBD">
        <w:rPr>
          <w:rFonts w:ascii="Times New Roman" w:hAnsi="Times New Roman"/>
          <w:rtl/>
        </w:rPr>
        <w:t xml:space="preserve"> معروف است</w:t>
      </w:r>
      <w:r w:rsidR="008B4397">
        <w:rPr>
          <w:rFonts w:ascii="Times New Roman" w:hAnsi="Times New Roman" w:hint="cs"/>
          <w:rtl/>
        </w:rPr>
        <w:t xml:space="preserve"> و</w:t>
      </w:r>
      <w:r w:rsidR="00F305CE" w:rsidRPr="00E84FBD">
        <w:rPr>
          <w:rFonts w:ascii="Times New Roman" w:hAnsi="Times New Roman"/>
          <w:rtl/>
        </w:rPr>
        <w:t xml:space="preserve"> طي سال‌  1988 توسط </w:t>
      </w:r>
      <w:r w:rsidR="00F305CE" w:rsidRPr="00E84FBD">
        <w:rPr>
          <w:rFonts w:ascii="Times New Roman" w:hAnsi="Times New Roman"/>
        </w:rPr>
        <w:t>Gavrilovic</w:t>
      </w:r>
      <w:r w:rsidR="00F305CE" w:rsidRPr="00E84FBD">
        <w:rPr>
          <w:rFonts w:ascii="Times New Roman" w:hAnsi="Times New Roman"/>
          <w:rtl/>
        </w:rPr>
        <w:t xml:space="preserve"> پيشنهاد گرديده است. در اين مدل، عوامل مؤثر در رسوب‌دهی</w:t>
      </w:r>
      <w:r w:rsidR="00F305CE" w:rsidRPr="00371174">
        <w:rPr>
          <w:rFonts w:hint="cs"/>
          <w:rtl/>
        </w:rPr>
        <w:t xml:space="preserve"> حوزه</w:t>
      </w:r>
      <w:r w:rsidR="00F305CE" w:rsidRPr="00371174">
        <w:rPr>
          <w:rtl/>
        </w:rPr>
        <w:softHyphen/>
      </w:r>
      <w:r w:rsidR="00F305CE" w:rsidRPr="00371174">
        <w:rPr>
          <w:rFonts w:hint="cs"/>
          <w:rtl/>
        </w:rPr>
        <w:t>هاي آبخيز در قالب ضريب فرسايش فعلی</w:t>
      </w:r>
      <w:r w:rsidR="00F305CE" w:rsidRPr="00371174">
        <w:rPr>
          <w:rStyle w:val="FootnoteReference"/>
          <w:rtl/>
        </w:rPr>
        <w:footnoteReference w:id="2"/>
      </w:r>
      <w:r w:rsidR="00F305CE" w:rsidRPr="00371174">
        <w:rPr>
          <w:rFonts w:hint="cs"/>
          <w:rtl/>
        </w:rPr>
        <w:t>، ضريب استفاده از زمين</w:t>
      </w:r>
      <w:r w:rsidR="00F305CE" w:rsidRPr="00371174">
        <w:rPr>
          <w:rStyle w:val="FootnoteReference"/>
          <w:rtl/>
        </w:rPr>
        <w:footnoteReference w:id="3"/>
      </w:r>
      <w:r w:rsidR="00F305CE" w:rsidRPr="00371174">
        <w:rPr>
          <w:rFonts w:hint="cs"/>
          <w:rtl/>
        </w:rPr>
        <w:t>، ضريب حساسيت خاک</w:t>
      </w:r>
      <w:r w:rsidR="00F305CE" w:rsidRPr="00371174">
        <w:rPr>
          <w:rStyle w:val="FootnoteReference"/>
          <w:rtl/>
        </w:rPr>
        <w:footnoteReference w:id="4"/>
      </w:r>
      <w:r w:rsidR="00F305CE" w:rsidRPr="00371174">
        <w:rPr>
          <w:rFonts w:hint="cs"/>
          <w:rtl/>
        </w:rPr>
        <w:t>، شيب زمين</w:t>
      </w:r>
      <w:r w:rsidR="00F305CE" w:rsidRPr="00371174">
        <w:rPr>
          <w:rStyle w:val="FootnoteReference"/>
          <w:rtl/>
        </w:rPr>
        <w:footnoteReference w:id="5"/>
      </w:r>
      <w:r w:rsidR="00F305CE" w:rsidRPr="00371174">
        <w:rPr>
          <w:rFonts w:hint="cs"/>
          <w:rtl/>
        </w:rPr>
        <w:t xml:space="preserve"> و ضريب فرسايش</w:t>
      </w:r>
      <w:r w:rsidR="00F305CE" w:rsidRPr="00371174">
        <w:rPr>
          <w:rStyle w:val="FootnoteReference"/>
          <w:rtl/>
        </w:rPr>
        <w:footnoteReference w:id="6"/>
      </w:r>
      <w:r w:rsidR="00F305CE" w:rsidRPr="00371174">
        <w:rPr>
          <w:rFonts w:hint="cs"/>
          <w:rtl/>
        </w:rPr>
        <w:t xml:space="preserve"> حوزه</w:t>
      </w:r>
      <w:r w:rsidR="00F305CE" w:rsidRPr="00371174">
        <w:rPr>
          <w:rtl/>
        </w:rPr>
        <w:softHyphen/>
      </w:r>
      <w:r w:rsidR="00F305CE" w:rsidRPr="00371174">
        <w:rPr>
          <w:rFonts w:hint="cs"/>
          <w:rtl/>
        </w:rPr>
        <w:t>هاي آبخيز، امتيازدهی می</w:t>
      </w:r>
      <w:r w:rsidR="00F305CE">
        <w:rPr>
          <w:rFonts w:hint="eastAsia"/>
          <w:rtl/>
        </w:rPr>
        <w:t>‌</w:t>
      </w:r>
      <w:r w:rsidR="00F305CE" w:rsidRPr="00371174">
        <w:rPr>
          <w:rFonts w:hint="cs"/>
          <w:rtl/>
        </w:rPr>
        <w:t xml:space="preserve">شوند و با استفاده از رابطه </w:t>
      </w:r>
      <w:r w:rsidR="00F305CE">
        <w:rPr>
          <w:rFonts w:hint="cs"/>
          <w:rtl/>
        </w:rPr>
        <w:t xml:space="preserve">(1) </w:t>
      </w:r>
      <w:r w:rsidR="00F305CE" w:rsidRPr="00371174">
        <w:rPr>
          <w:rFonts w:hint="cs"/>
          <w:rtl/>
        </w:rPr>
        <w:t>ميزان توليد رسوب حوزه</w:t>
      </w:r>
      <w:r w:rsidR="00F305CE">
        <w:rPr>
          <w:rFonts w:hint="eastAsia"/>
          <w:rtl/>
        </w:rPr>
        <w:t>‌</w:t>
      </w:r>
      <w:r w:rsidR="00F305CE" w:rsidRPr="00371174">
        <w:rPr>
          <w:rFonts w:hint="cs"/>
          <w:rtl/>
        </w:rPr>
        <w:t>هاي آبخيز برآورد می</w:t>
      </w:r>
      <w:r w:rsidR="00F305CE">
        <w:rPr>
          <w:rFonts w:hint="eastAsia"/>
          <w:rtl/>
        </w:rPr>
        <w:t>‌</w:t>
      </w:r>
      <w:r w:rsidR="00F305CE" w:rsidRPr="00371174">
        <w:rPr>
          <w:rFonts w:hint="cs"/>
          <w:rtl/>
        </w:rPr>
        <w:t>گردد</w:t>
      </w:r>
      <w:r w:rsidR="00F305CE">
        <w:rPr>
          <w:rFonts w:hint="cs"/>
          <w:rtl/>
        </w:rPr>
        <w:t xml:space="preserve"> که در آن </w:t>
      </w:r>
      <w:r w:rsidR="00F305CE" w:rsidRPr="00E84FBD">
        <w:rPr>
          <w:rFonts w:ascii="Times New Roman" w:hAnsi="Times New Roman"/>
        </w:rPr>
        <w:t>Gsp</w:t>
      </w:r>
      <w:r w:rsidR="00F305CE" w:rsidRPr="00E84FBD">
        <w:rPr>
          <w:rFonts w:ascii="Times New Roman" w:hAnsi="Times New Roman"/>
          <w:rtl/>
        </w:rPr>
        <w:t xml:space="preserve"> توليد رسوب بر حسب متر مکعب بر کيلومتر مربع در سال</w:t>
      </w:r>
      <w:r w:rsidR="00F305CE">
        <w:rPr>
          <w:rFonts w:hint="cs"/>
          <w:rtl/>
        </w:rPr>
        <w:t xml:space="preserve"> و </w:t>
      </w:r>
      <w:r w:rsidR="00F305CE" w:rsidRPr="00E84FBD">
        <w:rPr>
          <w:rFonts w:ascii="Times New Roman" w:hAnsi="Times New Roman"/>
        </w:rPr>
        <w:t>Wsp</w:t>
      </w:r>
      <w:r w:rsidR="00F305CE" w:rsidRPr="00E84FBD">
        <w:rPr>
          <w:rFonts w:ascii="Times New Roman" w:hAnsi="Times New Roman"/>
          <w:rtl/>
        </w:rPr>
        <w:t xml:space="preserve"> فرسايش ويژه برحسب متر مکعب درکيلومتر مربع درسال که از رابطه </w:t>
      </w:r>
      <w:r w:rsidR="00F305CE">
        <w:rPr>
          <w:rFonts w:hint="cs"/>
          <w:rtl/>
        </w:rPr>
        <w:t>(2)</w:t>
      </w:r>
      <w:r w:rsidR="00F305CE" w:rsidRPr="00E84FBD">
        <w:rPr>
          <w:rFonts w:ascii="Times New Roman" w:hAnsi="Times New Roman"/>
          <w:rtl/>
        </w:rPr>
        <w:t xml:space="preserve"> برآورد می‌گردد</w:t>
      </w:r>
      <w:r w:rsidR="00F305CE">
        <w:rPr>
          <w:rFonts w:hint="cs"/>
          <w:rtl/>
        </w:rPr>
        <w:t xml:space="preserve"> که در آن نیز</w:t>
      </w:r>
      <w:r w:rsidR="00F305CE" w:rsidRPr="00E84FBD">
        <w:rPr>
          <w:rFonts w:ascii="Times New Roman" w:hAnsi="Times New Roman"/>
        </w:rPr>
        <w:t xml:space="preserve">H  </w:t>
      </w:r>
      <w:r w:rsidR="00F305CE" w:rsidRPr="00E84FBD">
        <w:rPr>
          <w:rFonts w:ascii="Times New Roman" w:hAnsi="Times New Roman"/>
          <w:rtl/>
        </w:rPr>
        <w:t xml:space="preserve">  بارندگی متوسط ساليانه برحسب ميلي‌متر</w:t>
      </w:r>
      <w:r w:rsidR="00F305CE">
        <w:rPr>
          <w:rFonts w:hint="cs"/>
          <w:rtl/>
        </w:rPr>
        <w:t xml:space="preserve"> و </w:t>
      </w:r>
      <w:r w:rsidR="00F305CE" w:rsidRPr="00E84FBD">
        <w:rPr>
          <w:rFonts w:ascii="Times New Roman" w:hAnsi="Times New Roman"/>
        </w:rPr>
        <w:t>Z</w:t>
      </w:r>
      <w:r w:rsidR="00F305CE" w:rsidRPr="00E84FBD">
        <w:rPr>
          <w:rFonts w:ascii="Times New Roman" w:hAnsi="Times New Roman"/>
          <w:rtl/>
        </w:rPr>
        <w:t xml:space="preserve"> ضريب فرسايش </w:t>
      </w:r>
      <w:r w:rsidR="00F305CE">
        <w:rPr>
          <w:rFonts w:hint="cs"/>
          <w:rtl/>
        </w:rPr>
        <w:t xml:space="preserve"> است </w:t>
      </w:r>
      <w:r w:rsidR="00F305CE" w:rsidRPr="00E84FBD">
        <w:rPr>
          <w:rFonts w:ascii="Times New Roman" w:hAnsi="Times New Roman"/>
          <w:rtl/>
        </w:rPr>
        <w:t xml:space="preserve">که از رابطه </w:t>
      </w:r>
      <w:r w:rsidR="00F305CE">
        <w:rPr>
          <w:rFonts w:hint="cs"/>
          <w:rtl/>
        </w:rPr>
        <w:t>(3)</w:t>
      </w:r>
      <w:r w:rsidR="00F305CE" w:rsidRPr="00E84FBD">
        <w:rPr>
          <w:rFonts w:ascii="Times New Roman" w:hAnsi="Times New Roman"/>
          <w:rtl/>
        </w:rPr>
        <w:t xml:space="preserve"> بدست می</w:t>
      </w:r>
      <w:r w:rsidR="00F305CE" w:rsidRPr="00E84FBD">
        <w:rPr>
          <w:rFonts w:ascii="Times New Roman" w:hAnsi="Times New Roman"/>
          <w:rtl/>
        </w:rPr>
        <w:softHyphen/>
        <w:t>آيد.</w:t>
      </w:r>
      <w:r w:rsidR="00F305CE">
        <w:rPr>
          <w:rFonts w:hint="cs"/>
          <w:rtl/>
        </w:rPr>
        <w:t xml:space="preserve"> در این رابطه نیز </w:t>
      </w:r>
      <w:r w:rsidR="00F305CE" w:rsidRPr="00E84FBD">
        <w:rPr>
          <w:rFonts w:ascii="Times New Roman" w:hAnsi="Times New Roman"/>
        </w:rPr>
        <w:t>Y</w:t>
      </w:r>
      <w:r w:rsidR="00F305CE" w:rsidRPr="00E84FBD">
        <w:rPr>
          <w:rFonts w:ascii="Times New Roman" w:hAnsi="Times New Roman"/>
          <w:rtl/>
        </w:rPr>
        <w:t xml:space="preserve">، </w:t>
      </w:r>
      <w:r w:rsidR="00F305CE" w:rsidRPr="00E84FBD">
        <w:rPr>
          <w:rFonts w:ascii="Times New Roman" w:hAnsi="Times New Roman"/>
        </w:rPr>
        <w:t>Xa</w:t>
      </w:r>
      <w:r w:rsidR="00F305CE" w:rsidRPr="00E84FBD">
        <w:rPr>
          <w:rFonts w:ascii="Times New Roman" w:hAnsi="Times New Roman"/>
          <w:rtl/>
        </w:rPr>
        <w:t xml:space="preserve"> و</w:t>
      </w:r>
      <w:r w:rsidR="00F305CE" w:rsidRPr="00E84FBD">
        <w:rPr>
          <w:rFonts w:ascii="Times New Roman" w:hAnsi="Times New Roman"/>
          <w:position w:val="-10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3.75pt" o:ole="">
            <v:imagedata r:id="rId6" o:title=""/>
          </v:shape>
          <o:OLEObject Type="Embed" ProgID="Equation.3" ShapeID="_x0000_i1025" DrawAspect="Content" ObjectID="_1503720293" r:id="rId7"/>
        </w:object>
      </w:r>
      <w:r w:rsidR="00F305CE" w:rsidRPr="00E84FBD">
        <w:rPr>
          <w:rFonts w:ascii="Times New Roman" w:hAnsi="Times New Roman"/>
          <w:rtl/>
        </w:rPr>
        <w:t xml:space="preserve"> به ترتيب امتياز عامل حساسيت خاک و سنگ، عامل استفاده از زمين و عامل فرسايش هستند که بر اساس جداول </w:t>
      </w:r>
      <w:r w:rsidR="00F305CE">
        <w:rPr>
          <w:rFonts w:ascii="Times New Roman" w:hAnsi="Times New Roman" w:hint="cs"/>
          <w:rtl/>
        </w:rPr>
        <w:t>(</w:t>
      </w:r>
      <w:r>
        <w:rPr>
          <w:rFonts w:ascii="Times New Roman" w:hAnsi="Times New Roman"/>
        </w:rPr>
        <w:t>1</w:t>
      </w:r>
      <w:r w:rsidR="00F305CE">
        <w:rPr>
          <w:rFonts w:ascii="Times New Roman" w:hAnsi="Times New Roman" w:hint="cs"/>
          <w:rtl/>
        </w:rPr>
        <w:t>)</w:t>
      </w:r>
      <w:r w:rsidR="00F305CE" w:rsidRPr="00E84FBD">
        <w:rPr>
          <w:rFonts w:ascii="Times New Roman" w:hAnsi="Times New Roman"/>
          <w:rtl/>
        </w:rPr>
        <w:t xml:space="preserve"> تا </w:t>
      </w:r>
      <w:r w:rsidR="00F305CE">
        <w:rPr>
          <w:rFonts w:ascii="Times New Roman" w:hAnsi="Times New Roman" w:hint="cs"/>
          <w:rtl/>
        </w:rPr>
        <w:t>(</w:t>
      </w:r>
      <w:r>
        <w:rPr>
          <w:rFonts w:ascii="Times New Roman" w:hAnsi="Times New Roman"/>
        </w:rPr>
        <w:t>3</w:t>
      </w:r>
      <w:r w:rsidR="00F305CE">
        <w:rPr>
          <w:rFonts w:ascii="Times New Roman" w:hAnsi="Times New Roman" w:hint="cs"/>
          <w:rtl/>
        </w:rPr>
        <w:t>)</w:t>
      </w:r>
      <w:r w:rsidR="00F305CE" w:rsidRPr="00E84FBD">
        <w:rPr>
          <w:rFonts w:ascii="Times New Roman" w:hAnsi="Times New Roman"/>
          <w:rtl/>
        </w:rPr>
        <w:t xml:space="preserve"> در هر حوزه آبخيز اختصاص داده می‌شوند.</w:t>
      </w:r>
    </w:p>
    <w:p w:rsidR="00F305CE" w:rsidRPr="00FF08FD" w:rsidRDefault="00F305CE" w:rsidP="005160AB">
      <w:pPr>
        <w:spacing w:after="0" w:line="240" w:lineRule="auto"/>
        <w:ind w:firstLine="567"/>
        <w:jc w:val="lowKashida"/>
        <w:rPr>
          <w:rtl/>
        </w:rPr>
      </w:pPr>
      <w:r w:rsidRPr="00FF08FD">
        <w:rPr>
          <w:rFonts w:hint="cs"/>
          <w:rtl/>
        </w:rPr>
        <w:t xml:space="preserve">                           (1)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FF08FD">
        <w:rPr>
          <w:position w:val="-10"/>
          <w:rtl/>
        </w:rPr>
        <w:object w:dxaOrig="1579" w:dyaOrig="320">
          <v:shape id="_x0000_i1026" type="#_x0000_t75" style="width:72.65pt;height:15.05pt" o:ole="">
            <v:imagedata r:id="rId8" o:title=""/>
          </v:shape>
          <o:OLEObject Type="Embed" ProgID="Equation.3" ShapeID="_x0000_i1026" DrawAspect="Content" ObjectID="_1503720294" r:id="rId9"/>
        </w:object>
      </w:r>
    </w:p>
    <w:p w:rsidR="00F305CE" w:rsidRPr="00E84FBD" w:rsidRDefault="00F305CE" w:rsidP="005160AB">
      <w:pPr>
        <w:spacing w:after="0" w:line="240" w:lineRule="auto"/>
        <w:ind w:firstLine="567"/>
        <w:rPr>
          <w:rFonts w:ascii="Times New Roman" w:hAnsi="Times New Roman"/>
          <w:rtl/>
        </w:rPr>
      </w:pPr>
      <w:r w:rsidRPr="00E84FBD">
        <w:rPr>
          <w:rFonts w:ascii="Times New Roman" w:hAnsi="Times New Roman"/>
          <w:rtl/>
        </w:rPr>
        <w:t xml:space="preserve">                              (2)     </w:t>
      </w:r>
      <w:r w:rsidRPr="00E84FBD">
        <w:rPr>
          <w:rFonts w:ascii="Times New Roman" w:hAnsi="Times New Roman"/>
          <w:rtl/>
        </w:rPr>
        <w:tab/>
      </w:r>
      <w:r w:rsidRPr="00E84FBD">
        <w:rPr>
          <w:rFonts w:ascii="Times New Roman" w:hAnsi="Times New Roman"/>
          <w:position w:val="-10"/>
          <w:rtl/>
        </w:rPr>
        <w:object w:dxaOrig="1640" w:dyaOrig="540">
          <v:shape id="_x0000_i1027" type="#_x0000_t75" style="width:73.25pt;height:23.8pt" o:ole="">
            <v:imagedata r:id="rId10" o:title=""/>
          </v:shape>
          <o:OLEObject Type="Embed" ProgID="Equation.3" ShapeID="_x0000_i1027" DrawAspect="Content" ObjectID="_1503720295" r:id="rId11"/>
        </w:object>
      </w:r>
    </w:p>
    <w:p w:rsidR="00F305CE" w:rsidRPr="00E84FBD" w:rsidRDefault="00F305CE" w:rsidP="005160AB">
      <w:pPr>
        <w:spacing w:after="0" w:line="240" w:lineRule="auto"/>
        <w:ind w:firstLine="567"/>
        <w:rPr>
          <w:rFonts w:ascii="Times New Roman" w:hAnsi="Times New Roman"/>
          <w:rtl/>
        </w:rPr>
      </w:pPr>
      <w:r w:rsidRPr="00E84FBD">
        <w:rPr>
          <w:rFonts w:ascii="Times New Roman" w:hAnsi="Times New Roman"/>
          <w:rtl/>
        </w:rPr>
        <w:t xml:space="preserve">             (3)  </w:t>
      </w:r>
      <w:r w:rsidRPr="00E84FBD">
        <w:rPr>
          <w:rFonts w:ascii="Times New Roman" w:hAnsi="Times New Roman"/>
          <w:rtl/>
        </w:rPr>
        <w:tab/>
      </w:r>
      <w:r w:rsidRPr="00E84FBD">
        <w:rPr>
          <w:rFonts w:ascii="Times New Roman" w:hAnsi="Times New Roman"/>
          <w:rtl/>
        </w:rPr>
        <w:tab/>
      </w:r>
      <w:r w:rsidRPr="00E84FBD">
        <w:rPr>
          <w:rFonts w:ascii="Times New Roman" w:hAnsi="Times New Roman"/>
          <w:position w:val="-10"/>
        </w:rPr>
        <w:object w:dxaOrig="1760" w:dyaOrig="540">
          <v:shape id="_x0000_i1028" type="#_x0000_t75" style="width:105.2pt;height:31.95pt" o:ole="">
            <v:imagedata r:id="rId12" o:title=""/>
          </v:shape>
          <o:OLEObject Type="Embed" ProgID="Equation.3" ShapeID="_x0000_i1028" DrawAspect="Content" ObjectID="_1503720296" r:id="rId13"/>
        </w:object>
      </w:r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  <w:bookmarkStart w:id="0" w:name="_Toc413074078"/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</w:p>
    <w:p w:rsidR="00F305CE" w:rsidRDefault="00F305CE" w:rsidP="00F305CE">
      <w:pPr>
        <w:pStyle w:val="EPM"/>
        <w:spacing w:line="240" w:lineRule="auto"/>
        <w:rPr>
          <w:b w:val="0"/>
          <w:bCs w:val="0"/>
          <w:rtl/>
        </w:rPr>
      </w:pPr>
    </w:p>
    <w:p w:rsidR="00F305CE" w:rsidRPr="001A0054" w:rsidRDefault="00F305CE" w:rsidP="005160AB">
      <w:pPr>
        <w:pStyle w:val="EPM"/>
        <w:spacing w:line="240" w:lineRule="auto"/>
        <w:rPr>
          <w:rtl/>
        </w:rPr>
      </w:pPr>
      <w:bookmarkStart w:id="1" w:name="_Toc426538520"/>
      <w:r w:rsidRPr="001A0054">
        <w:rPr>
          <w:rtl/>
        </w:rPr>
        <w:t>جدول</w:t>
      </w:r>
      <w:r w:rsidRPr="001A0054">
        <w:rPr>
          <w:rFonts w:hint="cs"/>
          <w:rtl/>
        </w:rPr>
        <w:t xml:space="preserve"> (</w:t>
      </w:r>
      <w:r w:rsidR="005160AB">
        <w:t>1</w:t>
      </w:r>
      <w:r w:rsidRPr="001A0054">
        <w:rPr>
          <w:rFonts w:hint="cs"/>
          <w:rtl/>
        </w:rPr>
        <w:t>)</w:t>
      </w:r>
      <w:r>
        <w:rPr>
          <w:rFonts w:hint="cs"/>
          <w:rtl/>
        </w:rPr>
        <w:t>.</w:t>
      </w:r>
      <w:r w:rsidRPr="001A0054">
        <w:rPr>
          <w:rtl/>
        </w:rPr>
        <w:t xml:space="preserve"> ضريب مقاومت خاک به فرسايش (</w:t>
      </w:r>
      <w:r w:rsidRPr="001A0054">
        <w:rPr>
          <w:rFonts w:ascii="Times New Roman" w:hAnsi="Times New Roman" w:cs="Times New Roman"/>
        </w:rPr>
        <w:t>Ү</w:t>
      </w:r>
      <w:r w:rsidRPr="001A0054">
        <w:rPr>
          <w:rtl/>
        </w:rPr>
        <w:t>) (</w:t>
      </w:r>
      <w:r w:rsidRPr="001A0054">
        <w:rPr>
          <w:rFonts w:ascii="Times New Roman" w:hAnsi="Times New Roman" w:cs="Times New Roman"/>
        </w:rPr>
        <w:t>Gavrilovic</w:t>
      </w:r>
      <w:r w:rsidRPr="001A0054">
        <w:rPr>
          <w:rtl/>
        </w:rPr>
        <w:t>، 1988)</w:t>
      </w:r>
      <w:bookmarkEnd w:id="0"/>
      <w:bookmarkEnd w:id="1"/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637"/>
        <w:gridCol w:w="6195"/>
        <w:gridCol w:w="1295"/>
      </w:tblGrid>
      <w:tr w:rsidR="00F305CE" w:rsidRPr="00C9466B" w:rsidTr="00440593">
        <w:trPr>
          <w:trHeight w:val="226"/>
          <w:jc w:val="center"/>
        </w:trPr>
        <w:tc>
          <w:tcPr>
            <w:tcW w:w="637" w:type="dxa"/>
            <w:tcBorders>
              <w:bottom w:val="nil"/>
            </w:tcBorders>
            <w:shd w:val="clear" w:color="auto" w:fill="auto"/>
            <w:vAlign w:val="center"/>
          </w:tcPr>
          <w:p w:rsidR="00F305CE" w:rsidRPr="00C9466B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C9466B">
              <w:rPr>
                <w:rFonts w:ascii="Times New Roman" w:hAnsi="Times New Roman"/>
                <w:sz w:val="20"/>
                <w:szCs w:val="20"/>
                <w:rtl/>
              </w:rPr>
              <w:t>رديف</w:t>
            </w:r>
          </w:p>
        </w:tc>
        <w:tc>
          <w:tcPr>
            <w:tcW w:w="6195" w:type="dxa"/>
            <w:tcBorders>
              <w:bottom w:val="nil"/>
            </w:tcBorders>
            <w:shd w:val="clear" w:color="auto" w:fill="auto"/>
            <w:vAlign w:val="center"/>
          </w:tcPr>
          <w:p w:rsidR="00F305CE" w:rsidRPr="00C9466B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C9466B">
              <w:rPr>
                <w:rFonts w:ascii="Times New Roman" w:hAnsi="Times New Roman"/>
                <w:sz w:val="20"/>
                <w:szCs w:val="20"/>
                <w:rtl/>
              </w:rPr>
              <w:t>خصوصيات سنگ و خاک بستر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auto"/>
            <w:vAlign w:val="center"/>
          </w:tcPr>
          <w:p w:rsidR="00F305CE" w:rsidRPr="00C9466B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</w:pPr>
            <w:r w:rsidRPr="00C9466B"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  <w:t>نمره متوسط</w:t>
            </w:r>
          </w:p>
        </w:tc>
      </w:tr>
      <w:tr w:rsidR="00F305CE" w:rsidRPr="00C9466B" w:rsidTr="00440593">
        <w:trPr>
          <w:trHeight w:val="260"/>
          <w:jc w:val="center"/>
        </w:trPr>
        <w:tc>
          <w:tcPr>
            <w:tcW w:w="637" w:type="dxa"/>
            <w:tcBorders>
              <w:top w:val="nil"/>
              <w:bottom w:val="single" w:sz="4" w:space="0" w:color="auto"/>
            </w:tcBorders>
          </w:tcPr>
          <w:p w:rsidR="00F305CE" w:rsidRPr="00FB3CAE" w:rsidRDefault="00F305CE" w:rsidP="0044059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1</w:t>
            </w:r>
          </w:p>
        </w:tc>
        <w:tc>
          <w:tcPr>
            <w:tcW w:w="6195" w:type="dxa"/>
            <w:tcBorders>
              <w:top w:val="nil"/>
              <w:bottom w:val="single" w:sz="4" w:space="0" w:color="auto"/>
            </w:tcBorders>
          </w:tcPr>
          <w:p w:rsidR="00F305CE" w:rsidRPr="00FB3CAE" w:rsidRDefault="00F305CE" w:rsidP="00440593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ماسه، شن،‌ خاك‌هاي لسي</w:t>
            </w:r>
          </w:p>
        </w:tc>
        <w:tc>
          <w:tcPr>
            <w:tcW w:w="1295" w:type="dxa"/>
            <w:tcBorders>
              <w:top w:val="nil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2</w:t>
            </w:r>
          </w:p>
        </w:tc>
      </w:tr>
      <w:tr w:rsidR="00F305CE" w:rsidRPr="00C9466B" w:rsidTr="00440593">
        <w:trPr>
          <w:trHeight w:val="171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لس، توف، خاک‌های شور، خاک‌های استپی و شبيه آن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6/1</w:t>
            </w:r>
          </w:p>
        </w:tc>
      </w:tr>
      <w:tr w:rsidR="00F305CE" w:rsidRPr="00C9466B" w:rsidTr="00440593">
        <w:trPr>
          <w:trHeight w:val="246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آهک‌های هوازده و مارن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2/1</w:t>
            </w:r>
          </w:p>
        </w:tc>
      </w:tr>
      <w:tr w:rsidR="00F305CE" w:rsidRPr="00C9466B" w:rsidTr="00440593">
        <w:trPr>
          <w:trHeight w:val="193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4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سرپانتين، ماسه‌سنگ قرمز و رسوبات فليشی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1/1</w:t>
            </w:r>
          </w:p>
        </w:tc>
      </w:tr>
      <w:tr w:rsidR="00F305CE" w:rsidRPr="00C9466B" w:rsidTr="00440593">
        <w:trPr>
          <w:trHeight w:val="142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5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خاک‌های پدزولی، پاراپدزولی، شيست‌های خرد شده: ميکاشيست، گنايس، شيست‌های رسی و غيره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1</w:t>
            </w:r>
          </w:p>
        </w:tc>
      </w:tr>
      <w:tr w:rsidR="00F305CE" w:rsidRPr="00C9466B" w:rsidTr="00440593">
        <w:trPr>
          <w:trHeight w:val="217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سنگ آهک ورقه‌ای و متراکم، خاك‌هاي رسي قرمز و خاک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softHyphen/>
              <w:t xml:space="preserve">های هوموس‌دار سيليکاته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9/0</w:t>
            </w:r>
          </w:p>
        </w:tc>
      </w:tr>
      <w:tr w:rsidR="00F305CE" w:rsidRPr="00C9466B" w:rsidTr="00440593">
        <w:trPr>
          <w:trHeight w:val="294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7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خاک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softHyphen/>
              <w:t>های جنگلی قهوه‌ای و خاک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softHyphen/>
              <w:t>های کوهستانی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8/0</w:t>
            </w:r>
          </w:p>
        </w:tc>
      </w:tr>
      <w:tr w:rsidR="00F305CE" w:rsidRPr="00C9466B" w:rsidTr="00440593">
        <w:trPr>
          <w:trHeight w:val="242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8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خاك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softHyphen/>
              <w:t>هاي رسي كلوئيدي غيرآهكي اسموئيت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softHyphen/>
              <w:t>زا و خاک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softHyphen/>
              <w:t>های باتلاقی و ميانکوهی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6/0</w:t>
            </w:r>
          </w:p>
        </w:tc>
      </w:tr>
      <w:tr w:rsidR="00F305CE" w:rsidRPr="00C9466B" w:rsidTr="00440593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9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خاک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softHyphen/>
              <w:t>های چرنوزم و رسوبات آبرفتی با بافت خوب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5/0</w:t>
            </w:r>
          </w:p>
        </w:tc>
      </w:tr>
      <w:tr w:rsidR="00F305CE" w:rsidRPr="00C9466B" w:rsidTr="00440593">
        <w:trPr>
          <w:trHeight w:val="110"/>
          <w:jc w:val="center"/>
        </w:trPr>
        <w:tc>
          <w:tcPr>
            <w:tcW w:w="637" w:type="dxa"/>
            <w:tcBorders>
              <w:top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10</w:t>
            </w:r>
          </w:p>
        </w:tc>
        <w:tc>
          <w:tcPr>
            <w:tcW w:w="6195" w:type="dxa"/>
            <w:tcBorders>
              <w:top w:val="single" w:sz="4" w:space="0" w:color="auto"/>
            </w:tcBorders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سنگ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softHyphen/>
              <w:t>های آذرين متراکم و لخت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25/0</w:t>
            </w:r>
          </w:p>
        </w:tc>
      </w:tr>
    </w:tbl>
    <w:p w:rsidR="00F305CE" w:rsidRDefault="00F305CE" w:rsidP="00F305CE">
      <w:pPr>
        <w:pStyle w:val="EPM"/>
        <w:spacing w:line="240" w:lineRule="auto"/>
        <w:rPr>
          <w:rtl/>
        </w:rPr>
      </w:pPr>
      <w:bookmarkStart w:id="2" w:name="_Toc413074079"/>
    </w:p>
    <w:p w:rsidR="00F305CE" w:rsidRPr="001A0054" w:rsidRDefault="00F305CE" w:rsidP="005160AB">
      <w:pPr>
        <w:pStyle w:val="EPM"/>
        <w:spacing w:line="240" w:lineRule="auto"/>
        <w:rPr>
          <w:rtl/>
        </w:rPr>
      </w:pPr>
      <w:bookmarkStart w:id="3" w:name="_Toc426538521"/>
      <w:r w:rsidRPr="001A0054">
        <w:rPr>
          <w:rtl/>
        </w:rPr>
        <w:t>جدول</w:t>
      </w:r>
      <w:r w:rsidRPr="001A0054">
        <w:rPr>
          <w:rFonts w:hint="cs"/>
          <w:rtl/>
        </w:rPr>
        <w:t xml:space="preserve"> (</w:t>
      </w:r>
      <w:r w:rsidR="005160AB">
        <w:t>2</w:t>
      </w:r>
      <w:r w:rsidRPr="001A0054">
        <w:rPr>
          <w:rFonts w:hint="cs"/>
          <w:rtl/>
        </w:rPr>
        <w:t>)</w:t>
      </w:r>
      <w:r>
        <w:rPr>
          <w:rFonts w:hint="cs"/>
          <w:rtl/>
        </w:rPr>
        <w:t>.</w:t>
      </w:r>
      <w:r w:rsidRPr="001A0054">
        <w:rPr>
          <w:rtl/>
        </w:rPr>
        <w:t xml:space="preserve"> ضريب استفاده از زمين (</w:t>
      </w:r>
      <w:r w:rsidRPr="001A0054">
        <w:rPr>
          <w:rFonts w:ascii="Times New Roman" w:hAnsi="Times New Roman" w:cs="Times New Roman"/>
        </w:rPr>
        <w:t>Xa</w:t>
      </w:r>
      <w:r w:rsidRPr="001A0054">
        <w:rPr>
          <w:rtl/>
        </w:rPr>
        <w:t>) (</w:t>
      </w:r>
      <w:r w:rsidRPr="001A0054">
        <w:rPr>
          <w:rFonts w:ascii="Times New Roman" w:hAnsi="Times New Roman" w:cs="Times New Roman"/>
        </w:rPr>
        <w:t>Gavrilovic</w:t>
      </w:r>
      <w:r w:rsidRPr="001A0054">
        <w:rPr>
          <w:rtl/>
        </w:rPr>
        <w:t>، 1988)</w:t>
      </w:r>
      <w:bookmarkEnd w:id="2"/>
      <w:bookmarkEnd w:id="3"/>
    </w:p>
    <w:tbl>
      <w:tblPr>
        <w:bidiVisual/>
        <w:tblW w:w="8503" w:type="dxa"/>
        <w:jc w:val="center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688"/>
        <w:gridCol w:w="6168"/>
        <w:gridCol w:w="1647"/>
      </w:tblGrid>
      <w:tr w:rsidR="00F305CE" w:rsidRPr="00E84FBD" w:rsidTr="00440593">
        <w:trPr>
          <w:trHeight w:val="148"/>
          <w:jc w:val="center"/>
        </w:trPr>
        <w:tc>
          <w:tcPr>
            <w:tcW w:w="688" w:type="dxa"/>
            <w:tcBorders>
              <w:bottom w:val="nil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رديف</w:t>
            </w:r>
          </w:p>
        </w:tc>
        <w:tc>
          <w:tcPr>
            <w:tcW w:w="6168" w:type="dxa"/>
            <w:tcBorders>
              <w:bottom w:val="nil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شرايط تأثير گذاري در مقدار ضريب</w:t>
            </w:r>
          </w:p>
        </w:tc>
        <w:tc>
          <w:tcPr>
            <w:tcW w:w="1647" w:type="dxa"/>
            <w:tcBorders>
              <w:bottom w:val="nil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نمره متوسط</w:t>
            </w:r>
          </w:p>
        </w:tc>
      </w:tr>
      <w:tr w:rsidR="00F305CE" w:rsidRPr="00E84FBD" w:rsidTr="00440593">
        <w:trPr>
          <w:trHeight w:val="289"/>
          <w:jc w:val="center"/>
        </w:trPr>
        <w:tc>
          <w:tcPr>
            <w:tcW w:w="688" w:type="dxa"/>
            <w:tcBorders>
              <w:top w:val="nil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1</w:t>
            </w:r>
          </w:p>
        </w:tc>
        <w:tc>
          <w:tcPr>
            <w:tcW w:w="6168" w:type="dxa"/>
            <w:tcBorders>
              <w:top w:val="nil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اراضی غير قابل کشت لخت ( بدلندها)</w:t>
            </w:r>
          </w:p>
        </w:tc>
        <w:tc>
          <w:tcPr>
            <w:tcW w:w="1647" w:type="dxa"/>
            <w:tcBorders>
              <w:top w:val="nil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1</w:t>
            </w:r>
          </w:p>
        </w:tc>
      </w:tr>
      <w:tr w:rsidR="00F305CE" w:rsidRPr="00E84FBD" w:rsidTr="00440593">
        <w:trPr>
          <w:trHeight w:val="158"/>
          <w:jc w:val="center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2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اراضی شخم خورده از طرف بالا به پايين دامنه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9/0</w:t>
            </w:r>
          </w:p>
        </w:tc>
      </w:tr>
      <w:tr w:rsidR="00F305CE" w:rsidRPr="00E84FBD" w:rsidTr="00440593">
        <w:trPr>
          <w:trHeight w:val="205"/>
          <w:jc w:val="center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3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باغات وتاکستان های بدون پوشش گياهی اشکوب زيرين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7/0</w:t>
            </w:r>
          </w:p>
        </w:tc>
      </w:tr>
      <w:tr w:rsidR="00F305CE" w:rsidRPr="00E84FBD" w:rsidTr="00440593">
        <w:trPr>
          <w:trHeight w:val="254"/>
          <w:jc w:val="center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4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مزارع كشت شده روی خطوط تراز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6/0</w:t>
            </w:r>
          </w:p>
        </w:tc>
      </w:tr>
      <w:tr w:rsidR="00F305CE" w:rsidRPr="00E84FBD" w:rsidTr="00440593">
        <w:trPr>
          <w:trHeight w:val="174"/>
          <w:jc w:val="center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5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جنگل</w:t>
            </w:r>
            <w:r w:rsidRPr="00FB3CAE">
              <w:rPr>
                <w:rFonts w:ascii="Times New Roman" w:hAnsi="Times New Roman" w:hint="cs"/>
                <w:sz w:val="20"/>
                <w:szCs w:val="20"/>
                <w:rtl/>
              </w:rPr>
              <w:t>‌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های مخروبه وبوته</w:t>
            </w:r>
            <w:r w:rsidRPr="00FB3CAE">
              <w:rPr>
                <w:rFonts w:ascii="Times New Roman" w:hAnsi="Times New Roman" w:hint="cs"/>
                <w:sz w:val="20"/>
                <w:szCs w:val="20"/>
                <w:rtl/>
              </w:rPr>
              <w:t>‌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زارهای با خاک فرسايش يافته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6/0</w:t>
            </w:r>
          </w:p>
        </w:tc>
      </w:tr>
      <w:tr w:rsidR="00F305CE" w:rsidRPr="00E84FBD" w:rsidTr="00440593">
        <w:trPr>
          <w:trHeight w:val="207"/>
          <w:jc w:val="center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6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مراتع کوهستانی خشک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5/0</w:t>
            </w:r>
          </w:p>
        </w:tc>
      </w:tr>
      <w:tr w:rsidR="00F305CE" w:rsidRPr="00E84FBD" w:rsidTr="00440593">
        <w:trPr>
          <w:trHeight w:val="114"/>
          <w:jc w:val="center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7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علفزارها و محصولات دائمی مشابه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4/0</w:t>
            </w:r>
          </w:p>
        </w:tc>
      </w:tr>
      <w:tr w:rsidR="00F305CE" w:rsidRPr="00E84FBD" w:rsidTr="00440593">
        <w:trPr>
          <w:trHeight w:val="219"/>
          <w:jc w:val="center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8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چمنزارهاي خودرو و زهكشي شده مراتع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3/0</w:t>
            </w:r>
          </w:p>
        </w:tc>
      </w:tr>
      <w:tr w:rsidR="00F305CE" w:rsidRPr="00E84FBD" w:rsidTr="00440593">
        <w:trPr>
          <w:trHeight w:val="140"/>
          <w:jc w:val="center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9</w:t>
            </w:r>
          </w:p>
        </w:tc>
        <w:tc>
          <w:tcPr>
            <w:tcW w:w="6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جنگل</w:t>
            </w:r>
            <w:r w:rsidRPr="00FB3CAE">
              <w:rPr>
                <w:rFonts w:ascii="Times New Roman" w:hAnsi="Times New Roman" w:hint="cs"/>
                <w:sz w:val="20"/>
                <w:szCs w:val="20"/>
                <w:rtl/>
              </w:rPr>
              <w:t>‌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های مرغوب برروی شيب</w:t>
            </w:r>
            <w:r w:rsidRPr="00FB3CAE">
              <w:rPr>
                <w:rFonts w:ascii="Times New Roman" w:hAnsi="Times New Roman" w:hint="cs"/>
                <w:sz w:val="20"/>
                <w:szCs w:val="20"/>
                <w:rtl/>
              </w:rPr>
              <w:t>‌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های تند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2/0</w:t>
            </w:r>
          </w:p>
        </w:tc>
      </w:tr>
      <w:tr w:rsidR="00F305CE" w:rsidRPr="00E84FBD" w:rsidTr="00440593">
        <w:trPr>
          <w:trHeight w:val="188"/>
          <w:jc w:val="center"/>
        </w:trPr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10</w:t>
            </w:r>
          </w:p>
        </w:tc>
        <w:tc>
          <w:tcPr>
            <w:tcW w:w="6168" w:type="dxa"/>
            <w:tcBorders>
              <w:top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جنگل</w:t>
            </w:r>
            <w:r w:rsidRPr="00FB3CAE">
              <w:rPr>
                <w:rFonts w:ascii="Times New Roman" w:hAnsi="Times New Roman" w:hint="cs"/>
                <w:sz w:val="20"/>
                <w:szCs w:val="20"/>
                <w:rtl/>
              </w:rPr>
              <w:t>‌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های مرغوب بر روی شيب</w:t>
            </w:r>
            <w:r w:rsidRPr="00FB3CAE">
              <w:rPr>
                <w:rFonts w:ascii="Times New Roman" w:hAnsi="Times New Roman" w:hint="cs"/>
                <w:sz w:val="20"/>
                <w:szCs w:val="20"/>
                <w:rtl/>
              </w:rPr>
              <w:t>‌</w:t>
            </w: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های ملايم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05/0</w:t>
            </w:r>
          </w:p>
        </w:tc>
      </w:tr>
    </w:tbl>
    <w:p w:rsidR="00F305CE" w:rsidRDefault="00F305CE" w:rsidP="00F305CE">
      <w:pPr>
        <w:pStyle w:val="EPM"/>
        <w:rPr>
          <w:b w:val="0"/>
          <w:bCs w:val="0"/>
          <w:rtl/>
        </w:rPr>
      </w:pPr>
      <w:bookmarkStart w:id="4" w:name="_Toc413074080"/>
    </w:p>
    <w:p w:rsidR="00F305CE" w:rsidRPr="001A0054" w:rsidRDefault="00F305CE" w:rsidP="005160AB">
      <w:pPr>
        <w:pStyle w:val="EPM"/>
        <w:spacing w:line="240" w:lineRule="auto"/>
        <w:rPr>
          <w:rtl/>
        </w:rPr>
      </w:pPr>
      <w:bookmarkStart w:id="5" w:name="_Toc426538522"/>
      <w:r w:rsidRPr="001A0054">
        <w:rPr>
          <w:rtl/>
        </w:rPr>
        <w:t>جدول</w:t>
      </w:r>
      <w:r w:rsidRPr="001A0054">
        <w:rPr>
          <w:rFonts w:hint="cs"/>
          <w:rtl/>
        </w:rPr>
        <w:t xml:space="preserve"> (</w:t>
      </w:r>
      <w:r w:rsidR="005160AB">
        <w:t>3</w:t>
      </w:r>
      <w:r w:rsidRPr="001A0054">
        <w:rPr>
          <w:rFonts w:hint="cs"/>
          <w:rtl/>
        </w:rPr>
        <w:t>)</w:t>
      </w:r>
      <w:r>
        <w:rPr>
          <w:rFonts w:hint="cs"/>
          <w:rtl/>
        </w:rPr>
        <w:t>.</w:t>
      </w:r>
      <w:r w:rsidRPr="001A0054">
        <w:rPr>
          <w:rtl/>
        </w:rPr>
        <w:t xml:space="preserve"> ضريب فرسايش(</w:t>
      </w:r>
      <w:r w:rsidRPr="001A0054">
        <w:rPr>
          <w:position w:val="-10"/>
        </w:rPr>
        <w:object w:dxaOrig="220" w:dyaOrig="260">
          <v:shape id="_x0000_i1029" type="#_x0000_t75" style="width:12.5pt;height:13.75pt" o:ole="">
            <v:imagedata r:id="rId14" o:title=""/>
          </v:shape>
          <o:OLEObject Type="Embed" ProgID="Equation.3" ShapeID="_x0000_i1029" DrawAspect="Content" ObjectID="_1503720297" r:id="rId15"/>
        </w:object>
      </w:r>
      <w:r w:rsidRPr="001A0054">
        <w:rPr>
          <w:rtl/>
        </w:rPr>
        <w:t>) در روش</w:t>
      </w:r>
      <w:r w:rsidRPr="001A0054">
        <w:rPr>
          <w:rFonts w:ascii="Times New Roman" w:hAnsi="Times New Roman" w:cs="Times New Roman"/>
        </w:rPr>
        <w:t>EPM</w:t>
      </w:r>
      <w:r w:rsidRPr="001A0054">
        <w:rPr>
          <w:rtl/>
        </w:rPr>
        <w:t xml:space="preserve"> (</w:t>
      </w:r>
      <w:r w:rsidRPr="001A0054">
        <w:rPr>
          <w:rFonts w:ascii="Times New Roman" w:hAnsi="Times New Roman" w:cs="Times New Roman"/>
        </w:rPr>
        <w:t>Gavrilovic</w:t>
      </w:r>
      <w:r w:rsidRPr="001A0054">
        <w:rPr>
          <w:rtl/>
        </w:rPr>
        <w:t>، 1988)</w:t>
      </w:r>
      <w:bookmarkEnd w:id="4"/>
      <w:bookmarkEnd w:id="5"/>
    </w:p>
    <w:tbl>
      <w:tblPr>
        <w:bidiVisual/>
        <w:tblW w:w="8761" w:type="dxa"/>
        <w:jc w:val="center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590"/>
        <w:gridCol w:w="6909"/>
        <w:gridCol w:w="1262"/>
      </w:tblGrid>
      <w:tr w:rsidR="00F305CE" w:rsidRPr="00E84FBD" w:rsidTr="00440593">
        <w:trPr>
          <w:trHeight w:val="276"/>
          <w:jc w:val="center"/>
        </w:trPr>
        <w:tc>
          <w:tcPr>
            <w:tcW w:w="582" w:type="dxa"/>
            <w:tcBorders>
              <w:bottom w:val="nil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رديف</w:t>
            </w:r>
          </w:p>
        </w:tc>
        <w:tc>
          <w:tcPr>
            <w:tcW w:w="6916" w:type="dxa"/>
            <w:tcBorders>
              <w:bottom w:val="nil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شرايط تأثيرگذاري در مقدار ضريب</w:t>
            </w:r>
          </w:p>
        </w:tc>
        <w:tc>
          <w:tcPr>
            <w:tcW w:w="1263" w:type="dxa"/>
            <w:tcBorders>
              <w:bottom w:val="nil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CAE">
              <w:rPr>
                <w:rFonts w:ascii="Times New Roman" w:hAnsi="Times New Roman"/>
                <w:sz w:val="20"/>
                <w:szCs w:val="20"/>
                <w:rtl/>
              </w:rPr>
              <w:t>نمره متوسط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nil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1</w:t>
            </w:r>
          </w:p>
        </w:tc>
        <w:tc>
          <w:tcPr>
            <w:tcW w:w="6916" w:type="dxa"/>
            <w:tcBorders>
              <w:top w:val="nil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حوزه آبخيز يا منطقه بطور كامل تحت تأثير فرسايش خندقي (گالي) و فرآيندهاي فرسايشي عميق قرارگرفته‌ است.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1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2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حدود 80 درصد از منطقه تحت پوشش شيارها و گالي‌ها قرار دارند.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9/0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حدود 50 درصد از منطقه تحت پوشش شيارها و گالي‌ها قرار دارند.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8/0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4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كل منطقه تحت تأثير فرسايش سطحي است.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7/0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5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كل منطقه تحت تأثير فرسايش است، اما بدون آثارعميق قابل رؤيت مانند شيارها،گالي‌ها. ريزش‌ها و غيره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6/0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6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50 درصد از منطقه تحت تأثير فرسايش سطحي است، در صورتي كه بقيه حوزه آبخيزتحت تأثير قرار نگرفته‌اند.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5/0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7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20 درصد</w:t>
            </w:r>
            <w:r w:rsidRPr="00E84FBD">
              <w:rPr>
                <w:rFonts w:ascii="Times New Roman" w:hAnsi="Times New Roman"/>
                <w:sz w:val="18"/>
                <w:szCs w:val="18"/>
                <w:rtl/>
              </w:rPr>
              <w:t xml:space="preserve"> از منطقه تحت تأثير فرسايش سطحي است و 80 درصد تحت تأثير قرار نگرفته‌اند.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3/0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8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سطح اراضي فاقد آثار فرسايشي قابل رؤيت است (ريزش هاي كوچك يا لغزش</w:t>
            </w: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softHyphen/>
              <w:t>هاي آبراهه‌اي)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2/0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9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3CAE">
              <w:rPr>
                <w:rFonts w:ascii="Times New Roman" w:hAnsi="Times New Roman"/>
                <w:sz w:val="18"/>
                <w:szCs w:val="18"/>
                <w:rtl/>
              </w:rPr>
              <w:t>سطح اراضي فاقد آثار فرسايش هاي قابل رؤيت است - غالباَ اراضي كشاورزي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15/0</w:t>
            </w:r>
          </w:p>
        </w:tc>
      </w:tr>
      <w:tr w:rsidR="00F305CE" w:rsidRPr="00E84FBD" w:rsidTr="00440593">
        <w:trPr>
          <w:trHeight w:val="345"/>
          <w:jc w:val="center"/>
        </w:trPr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10</w:t>
            </w:r>
          </w:p>
        </w:tc>
        <w:tc>
          <w:tcPr>
            <w:tcW w:w="6916" w:type="dxa"/>
            <w:tcBorders>
              <w:top w:val="single" w:sz="4" w:space="0" w:color="auto"/>
            </w:tcBorders>
            <w:vAlign w:val="center"/>
          </w:tcPr>
          <w:p w:rsidR="00F305CE" w:rsidRPr="00FB3CAE" w:rsidRDefault="00F305CE" w:rsidP="004405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3CAE">
              <w:rPr>
                <w:rFonts w:ascii="Times New Roman" w:hAnsi="Times New Roman"/>
                <w:sz w:val="18"/>
                <w:szCs w:val="18"/>
                <w:rtl/>
              </w:rPr>
              <w:t>سطح اراضي فاقد آثارفرسايشي قابل رؤيت است- غالباَ زير محصولات دائمي يا چوبي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F305CE" w:rsidRPr="00E84FBD" w:rsidRDefault="00F305CE" w:rsidP="0044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FBD">
              <w:rPr>
                <w:rFonts w:ascii="Times New Roman" w:hAnsi="Times New Roman"/>
                <w:sz w:val="20"/>
                <w:szCs w:val="20"/>
                <w:rtl/>
              </w:rPr>
              <w:t>1/0</w:t>
            </w:r>
          </w:p>
        </w:tc>
      </w:tr>
    </w:tbl>
    <w:p w:rsidR="00F305CE" w:rsidRPr="00E84FBD" w:rsidRDefault="00F305CE" w:rsidP="00F305CE">
      <w:pPr>
        <w:pStyle w:val="EPM0"/>
        <w:spacing w:before="120"/>
        <w:rPr>
          <w:rFonts w:cs="B Zar"/>
          <w:rtl/>
        </w:rPr>
      </w:pPr>
      <w:r w:rsidRPr="00E84FBD">
        <w:rPr>
          <w:rFonts w:cs="B Zar"/>
        </w:rPr>
        <w:t>I</w:t>
      </w:r>
      <w:r w:rsidRPr="00E84FBD">
        <w:rPr>
          <w:rFonts w:cs="B Zar"/>
          <w:rtl/>
        </w:rPr>
        <w:t xml:space="preserve">  عامل شيب زمين به درصد</w:t>
      </w:r>
    </w:p>
    <w:p w:rsidR="00F305CE" w:rsidRPr="00E84FBD" w:rsidRDefault="00F305CE" w:rsidP="00F305CE">
      <w:pPr>
        <w:pStyle w:val="EPM0"/>
        <w:rPr>
          <w:rFonts w:cs="B Zar"/>
          <w:rtl/>
        </w:rPr>
      </w:pPr>
      <w:r w:rsidRPr="00E84FBD">
        <w:rPr>
          <w:rFonts w:cs="B Zar"/>
          <w:position w:val="-6"/>
          <w:sz w:val="22"/>
          <w:szCs w:val="22"/>
        </w:rPr>
        <w:object w:dxaOrig="220" w:dyaOrig="220">
          <v:shape id="_x0000_i1030" type="#_x0000_t75" style="width:15.05pt;height:15.05pt" o:ole="">
            <v:imagedata r:id="rId16" o:title=""/>
          </v:shape>
          <o:OLEObject Type="Embed" ProgID="Equation.3" ShapeID="_x0000_i1030" DrawAspect="Content" ObjectID="_1503720298" r:id="rId17"/>
        </w:object>
      </w:r>
      <w:r w:rsidRPr="00E84FBD">
        <w:rPr>
          <w:rFonts w:cs="B Zar"/>
          <w:rtl/>
        </w:rPr>
        <w:t xml:space="preserve"> برابر 14159/3 </w:t>
      </w:r>
    </w:p>
    <w:p w:rsidR="00F305CE" w:rsidRPr="00E84FBD" w:rsidRDefault="00F305CE" w:rsidP="00F305CE">
      <w:pPr>
        <w:pStyle w:val="EPM0"/>
        <w:rPr>
          <w:rFonts w:cs="B Zar"/>
          <w:rtl/>
        </w:rPr>
      </w:pPr>
      <w:r w:rsidRPr="00E84FBD">
        <w:rPr>
          <w:rFonts w:cs="B Zar"/>
        </w:rPr>
        <w:t>T</w:t>
      </w:r>
      <w:r w:rsidRPr="00E84FBD">
        <w:rPr>
          <w:rFonts w:cs="B Zar"/>
          <w:rtl/>
        </w:rPr>
        <w:t xml:space="preserve">  ضريب دما که از رابطه زير بدست می</w:t>
      </w:r>
      <w:r w:rsidRPr="00E84FBD">
        <w:rPr>
          <w:rFonts w:cs="B Zar"/>
          <w:rtl/>
        </w:rPr>
        <w:softHyphen/>
        <w:t>آيد</w:t>
      </w:r>
      <w:r>
        <w:rPr>
          <w:rFonts w:cs="B Zar" w:hint="cs"/>
          <w:rtl/>
        </w:rPr>
        <w:t xml:space="preserve"> که </w:t>
      </w:r>
      <w:r w:rsidRPr="00E84FBD">
        <w:rPr>
          <w:rFonts w:cs="B Zar"/>
          <w:rtl/>
        </w:rPr>
        <w:t>در آن</w:t>
      </w:r>
      <w:r w:rsidRPr="00E84FBD">
        <w:rPr>
          <w:rFonts w:cs="B Zar"/>
        </w:rPr>
        <w:t xml:space="preserve">t </w:t>
      </w:r>
      <w:r w:rsidRPr="00E84FBD">
        <w:rPr>
          <w:rFonts w:cs="B Zar"/>
          <w:rtl/>
        </w:rPr>
        <w:t>، ميانگين دمای ساليانه برحسب درجه سانتي</w:t>
      </w:r>
      <w:r>
        <w:rPr>
          <w:rFonts w:cs="B Zar" w:hint="cs"/>
          <w:rtl/>
        </w:rPr>
        <w:t>‌</w:t>
      </w:r>
      <w:r w:rsidRPr="00E84FBD">
        <w:rPr>
          <w:rFonts w:cs="B Zar"/>
          <w:rtl/>
        </w:rPr>
        <w:t xml:space="preserve">گراد است.    </w:t>
      </w:r>
    </w:p>
    <w:p w:rsidR="00F305CE" w:rsidRPr="00E84FBD" w:rsidRDefault="00F305CE" w:rsidP="005160AB">
      <w:pPr>
        <w:pStyle w:val="EPM0"/>
        <w:rPr>
          <w:rFonts w:cs="B Zar"/>
          <w:rtl/>
        </w:rPr>
      </w:pPr>
      <w:r w:rsidRPr="00E84FBD">
        <w:rPr>
          <w:rFonts w:cs="B Zar"/>
          <w:rtl/>
        </w:rPr>
        <w:t xml:space="preserve">                             (4)         </w:t>
      </w:r>
      <w:r w:rsidRPr="00E84FBD">
        <w:rPr>
          <w:rFonts w:cs="B Zar"/>
          <w:rtl/>
        </w:rPr>
        <w:tab/>
      </w:r>
      <w:r w:rsidRPr="00E84FBD">
        <w:rPr>
          <w:rFonts w:cs="B Zar"/>
          <w:rtl/>
        </w:rPr>
        <w:tab/>
      </w:r>
      <w:r w:rsidRPr="00E84FBD">
        <w:rPr>
          <w:rFonts w:cs="B Zar"/>
          <w:position w:val="-24"/>
          <w:rtl/>
        </w:rPr>
        <w:object w:dxaOrig="1500" w:dyaOrig="680">
          <v:shape id="_x0000_i1031" type="#_x0000_t75" style="width:65.1pt;height:29.45pt" o:ole="">
            <v:imagedata r:id="rId18" o:title=""/>
          </v:shape>
          <o:OLEObject Type="Embed" ProgID="Equation.3" ShapeID="_x0000_i1031" DrawAspect="Content" ObjectID="_1503720299" r:id="rId19"/>
        </w:object>
      </w:r>
    </w:p>
    <w:p w:rsidR="00F305CE" w:rsidRPr="00E84FBD" w:rsidRDefault="00F305CE" w:rsidP="005160AB">
      <w:pPr>
        <w:pStyle w:val="EPM0"/>
        <w:rPr>
          <w:rFonts w:cs="B Zar"/>
          <w:rtl/>
        </w:rPr>
      </w:pPr>
      <w:r w:rsidRPr="00E84FBD">
        <w:rPr>
          <w:rFonts w:cs="B Zar"/>
        </w:rPr>
        <w:t>Ru</w:t>
      </w:r>
      <w:r w:rsidRPr="00E84FBD">
        <w:rPr>
          <w:rFonts w:cs="B Zar"/>
          <w:rtl/>
        </w:rPr>
        <w:t xml:space="preserve"> ضريب رسوب</w:t>
      </w:r>
      <w:r w:rsidRPr="00E84FBD">
        <w:rPr>
          <w:rFonts w:cs="B Zar"/>
          <w:rtl/>
        </w:rPr>
        <w:softHyphen/>
        <w:t xml:space="preserve">دهی حوزه آبخيز که از رابطه </w:t>
      </w:r>
      <w:r>
        <w:rPr>
          <w:rFonts w:cs="B Zar" w:hint="cs"/>
          <w:rtl/>
        </w:rPr>
        <w:t>(5)</w:t>
      </w:r>
      <w:r w:rsidRPr="00E84FBD">
        <w:rPr>
          <w:rFonts w:cs="B Zar"/>
          <w:rtl/>
        </w:rPr>
        <w:t xml:space="preserve"> بدست می آيد. در اين رابطه</w:t>
      </w:r>
      <w:r w:rsidRPr="00E84FBD">
        <w:rPr>
          <w:rFonts w:cs="B Zar"/>
        </w:rPr>
        <w:t>O</w:t>
      </w:r>
      <w:r w:rsidRPr="00E84FBD">
        <w:rPr>
          <w:rFonts w:cs="B Zar"/>
          <w:rtl/>
        </w:rPr>
        <w:t xml:space="preserve">  محيط حوزه آبخيز برحسب کيلومتر</w:t>
      </w:r>
      <w:r>
        <w:rPr>
          <w:rFonts w:cs="B Zar" w:hint="cs"/>
          <w:rtl/>
        </w:rPr>
        <w:t>،</w:t>
      </w:r>
      <w:r w:rsidRPr="00E84FBD">
        <w:rPr>
          <w:rFonts w:cs="B Zar"/>
        </w:rPr>
        <w:t xml:space="preserve"> L</w:t>
      </w:r>
      <w:r w:rsidRPr="00E84FBD">
        <w:rPr>
          <w:rFonts w:cs="B Zar"/>
          <w:rtl/>
        </w:rPr>
        <w:t>طول حوزه آبخيز به کيلومتر</w:t>
      </w:r>
      <w:r>
        <w:rPr>
          <w:rFonts w:cs="B Zar" w:hint="cs"/>
          <w:rtl/>
        </w:rPr>
        <w:t xml:space="preserve"> و </w:t>
      </w:r>
      <w:r w:rsidRPr="00E84FBD">
        <w:rPr>
          <w:rFonts w:cs="B Zar"/>
        </w:rPr>
        <w:t>D</w:t>
      </w:r>
      <w:r w:rsidRPr="00E84FBD">
        <w:rPr>
          <w:rFonts w:cs="B Zar"/>
          <w:rtl/>
        </w:rPr>
        <w:t xml:space="preserve">  اختلاف ارتفاع بين ارتفاع متوسط حوزه آبخيز و ارتفاع نقطه خروجی حوزه آبخيز به کيلومتر</w:t>
      </w:r>
      <w:r>
        <w:rPr>
          <w:rFonts w:cs="B Zar" w:hint="cs"/>
          <w:rtl/>
        </w:rPr>
        <w:t xml:space="preserve"> می‌باشد.</w:t>
      </w:r>
    </w:p>
    <w:p w:rsidR="00580FDA" w:rsidRDefault="00F305CE" w:rsidP="005160AB">
      <w:r w:rsidRPr="00E84FBD">
        <w:rPr>
          <w:rFonts w:ascii="Times New Roman" w:hAnsi="Times New Roman"/>
          <w:rtl/>
        </w:rPr>
        <w:tab/>
        <w:t xml:space="preserve">         (5)     </w:t>
      </w:r>
      <w:r w:rsidRPr="00E84FBD">
        <w:rPr>
          <w:rFonts w:ascii="Times New Roman" w:hAnsi="Times New Roman"/>
          <w:rtl/>
        </w:rPr>
        <w:tab/>
      </w:r>
      <w:r w:rsidRPr="00E84FBD">
        <w:rPr>
          <w:rFonts w:ascii="Times New Roman" w:hAnsi="Times New Roman"/>
          <w:rtl/>
        </w:rPr>
        <w:tab/>
      </w:r>
      <w:r w:rsidRPr="00E84FBD">
        <w:rPr>
          <w:rFonts w:ascii="Times New Roman" w:hAnsi="Times New Roman"/>
          <w:position w:val="-28"/>
        </w:rPr>
        <w:object w:dxaOrig="1920" w:dyaOrig="700">
          <v:shape id="_x0000_i1032" type="#_x0000_t75" style="width:88.9pt;height:31.3pt" o:ole="">
            <v:imagedata r:id="rId20" o:title=""/>
          </v:shape>
          <o:OLEObject Type="Embed" ProgID="Equation.3" ShapeID="_x0000_i1032" DrawAspect="Content" ObjectID="_1503720300" r:id="rId21"/>
        </w:object>
      </w:r>
    </w:p>
    <w:sectPr w:rsidR="00580FDA" w:rsidSect="00E62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1AB" w:rsidRDefault="009751AB" w:rsidP="00F305CE">
      <w:pPr>
        <w:spacing w:after="0" w:line="240" w:lineRule="auto"/>
      </w:pPr>
      <w:r>
        <w:separator/>
      </w:r>
    </w:p>
  </w:endnote>
  <w:endnote w:type="continuationSeparator" w:id="1">
    <w:p w:rsidR="009751AB" w:rsidRDefault="009751AB" w:rsidP="00F3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1AB" w:rsidRDefault="009751AB" w:rsidP="00F305CE">
      <w:pPr>
        <w:spacing w:after="0" w:line="240" w:lineRule="auto"/>
      </w:pPr>
      <w:r>
        <w:separator/>
      </w:r>
    </w:p>
  </w:footnote>
  <w:footnote w:type="continuationSeparator" w:id="1">
    <w:p w:rsidR="009751AB" w:rsidRDefault="009751AB" w:rsidP="00F305CE">
      <w:pPr>
        <w:spacing w:after="0" w:line="240" w:lineRule="auto"/>
      </w:pPr>
      <w:r>
        <w:continuationSeparator/>
      </w:r>
    </w:p>
  </w:footnote>
  <w:footnote w:id="2">
    <w:p w:rsidR="00F305CE" w:rsidRPr="00C9466B" w:rsidRDefault="00F305CE" w:rsidP="00F305CE">
      <w:pPr>
        <w:pStyle w:val="FootnoteText"/>
        <w:bidi w:val="0"/>
        <w:rPr>
          <w:sz w:val="20"/>
        </w:rPr>
      </w:pPr>
      <w:r w:rsidRPr="00C9466B">
        <w:rPr>
          <w:rStyle w:val="FootnoteReference"/>
          <w:sz w:val="20"/>
        </w:rPr>
        <w:footnoteRef/>
      </w:r>
      <w:r w:rsidRPr="00C9466B">
        <w:rPr>
          <w:sz w:val="20"/>
        </w:rPr>
        <w:t>. Coefficient Value for the Observed Erosion Process</w:t>
      </w:r>
    </w:p>
  </w:footnote>
  <w:footnote w:id="3">
    <w:p w:rsidR="00F305CE" w:rsidRPr="00C9466B" w:rsidRDefault="00F305CE" w:rsidP="00F305CE">
      <w:pPr>
        <w:pStyle w:val="FootnoteText"/>
        <w:bidi w:val="0"/>
        <w:rPr>
          <w:sz w:val="20"/>
        </w:rPr>
      </w:pPr>
      <w:r w:rsidRPr="00C9466B">
        <w:rPr>
          <w:rStyle w:val="FootnoteReference"/>
          <w:sz w:val="20"/>
        </w:rPr>
        <w:footnoteRef/>
      </w:r>
      <w:r w:rsidRPr="00C9466B">
        <w:rPr>
          <w:sz w:val="20"/>
        </w:rPr>
        <w:t>. Land Use Coefficient</w:t>
      </w:r>
    </w:p>
  </w:footnote>
  <w:footnote w:id="4">
    <w:p w:rsidR="00F305CE" w:rsidRPr="00C9466B" w:rsidRDefault="00F305CE" w:rsidP="00F305CE">
      <w:pPr>
        <w:pStyle w:val="FootnoteText"/>
        <w:bidi w:val="0"/>
        <w:rPr>
          <w:sz w:val="20"/>
        </w:rPr>
      </w:pPr>
      <w:r w:rsidRPr="00C9466B">
        <w:rPr>
          <w:rStyle w:val="FootnoteReference"/>
          <w:sz w:val="20"/>
        </w:rPr>
        <w:footnoteRef/>
      </w:r>
      <w:r w:rsidRPr="00C9466B">
        <w:rPr>
          <w:sz w:val="20"/>
        </w:rPr>
        <w:t>. Coefficient of Soil Resistance to Erosion</w:t>
      </w:r>
    </w:p>
  </w:footnote>
  <w:footnote w:id="5">
    <w:p w:rsidR="00F305CE" w:rsidRPr="00C9466B" w:rsidRDefault="00F305CE" w:rsidP="00F305CE">
      <w:pPr>
        <w:pStyle w:val="FootnoteText"/>
        <w:bidi w:val="0"/>
        <w:rPr>
          <w:sz w:val="20"/>
        </w:rPr>
      </w:pPr>
      <w:r w:rsidRPr="00C9466B">
        <w:rPr>
          <w:rStyle w:val="FootnoteReference"/>
          <w:sz w:val="20"/>
        </w:rPr>
        <w:footnoteRef/>
      </w:r>
      <w:r w:rsidRPr="00C9466B">
        <w:rPr>
          <w:sz w:val="20"/>
        </w:rPr>
        <w:t>. Land Slop</w:t>
      </w:r>
    </w:p>
  </w:footnote>
  <w:footnote w:id="6">
    <w:p w:rsidR="00F305CE" w:rsidRPr="00C9466B" w:rsidRDefault="00F305CE" w:rsidP="00F305CE">
      <w:pPr>
        <w:pStyle w:val="FootnoteText"/>
        <w:bidi w:val="0"/>
        <w:rPr>
          <w:sz w:val="20"/>
        </w:rPr>
      </w:pPr>
      <w:r w:rsidRPr="00C9466B">
        <w:rPr>
          <w:rStyle w:val="FootnoteReference"/>
          <w:sz w:val="20"/>
        </w:rPr>
        <w:footnoteRef/>
      </w:r>
      <w:r w:rsidRPr="00C9466B">
        <w:rPr>
          <w:sz w:val="20"/>
        </w:rPr>
        <w:t>. Coefficient of Erosion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5CE"/>
    <w:rsid w:val="005160AB"/>
    <w:rsid w:val="00624D11"/>
    <w:rsid w:val="00751CB9"/>
    <w:rsid w:val="008B4397"/>
    <w:rsid w:val="009751AB"/>
    <w:rsid w:val="00E628E3"/>
    <w:rsid w:val="00F3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5CE"/>
    <w:pPr>
      <w:bidi/>
    </w:pPr>
    <w:rPr>
      <w:rFonts w:ascii="B Zar" w:eastAsia="Calibri" w:hAnsi="B Zar" w:cs="B Zar"/>
      <w:sz w:val="28"/>
      <w:szCs w:val="28"/>
      <w:lang w:bidi="fa-IR"/>
    </w:rPr>
  </w:style>
  <w:style w:type="paragraph" w:styleId="Heading1">
    <w:name w:val="heading 1"/>
    <w:aliases w:val="Heading 1 فهرست مطالب"/>
    <w:basedOn w:val="Normal"/>
    <w:link w:val="Heading1Char"/>
    <w:qFormat/>
    <w:rsid w:val="00F305CE"/>
    <w:pPr>
      <w:keepNext/>
      <w:spacing w:after="0" w:line="240" w:lineRule="auto"/>
      <w:jc w:val="lowKashida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فهرست مطالب Char"/>
    <w:basedOn w:val="DefaultParagraphFont"/>
    <w:link w:val="Heading1"/>
    <w:rsid w:val="00F305CE"/>
    <w:rPr>
      <w:rFonts w:ascii="B Zar" w:eastAsia="Times New Roman" w:hAnsi="B Zar" w:cs="B Zar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1"/>
    <w:semiHidden/>
    <w:rsid w:val="00F305CE"/>
    <w:pPr>
      <w:spacing w:after="0" w:line="240" w:lineRule="auto"/>
    </w:pPr>
    <w:rPr>
      <w:rFonts w:ascii="Times New Roman" w:eastAsia="SimSun" w:hAnsi="Times New Roman" w:cs="Zar"/>
      <w:sz w:val="24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5CE"/>
    <w:rPr>
      <w:rFonts w:ascii="B Zar" w:eastAsia="Calibri" w:hAnsi="B Zar" w:cs="B Zar"/>
      <w:sz w:val="20"/>
      <w:szCs w:val="20"/>
      <w:lang w:bidi="fa-IR"/>
    </w:rPr>
  </w:style>
  <w:style w:type="character" w:customStyle="1" w:styleId="FootnoteTextChar1">
    <w:name w:val="Footnote Text Char1"/>
    <w:link w:val="FootnoteText"/>
    <w:semiHidden/>
    <w:locked/>
    <w:rsid w:val="00F305CE"/>
    <w:rPr>
      <w:rFonts w:ascii="Times New Roman" w:eastAsia="SimSun" w:hAnsi="Times New Roman" w:cs="Zar"/>
      <w:sz w:val="24"/>
      <w:szCs w:val="20"/>
      <w:lang w:eastAsia="zh-CN" w:bidi="fa-IR"/>
    </w:rPr>
  </w:style>
  <w:style w:type="character" w:styleId="FootnoteReference">
    <w:name w:val="footnote reference"/>
    <w:semiHidden/>
    <w:rsid w:val="00F305CE"/>
    <w:rPr>
      <w:vertAlign w:val="superscript"/>
    </w:rPr>
  </w:style>
  <w:style w:type="paragraph" w:customStyle="1" w:styleId="EPM">
    <w:name w:val="جدول EPM"/>
    <w:basedOn w:val="BodyText"/>
    <w:qFormat/>
    <w:rsid w:val="00F305CE"/>
    <w:pPr>
      <w:spacing w:after="0" w:line="360" w:lineRule="auto"/>
      <w:jc w:val="center"/>
    </w:pPr>
    <w:rPr>
      <w:rFonts w:eastAsia="Times New Roman"/>
      <w:b/>
      <w:bCs/>
      <w:color w:val="000000" w:themeColor="text1"/>
      <w:sz w:val="20"/>
      <w:szCs w:val="20"/>
      <w:lang w:eastAsia="zh-CN" w:bidi="ar-SA"/>
    </w:rPr>
  </w:style>
  <w:style w:type="paragraph" w:customStyle="1" w:styleId="EPM0">
    <w:name w:val="متن EPM"/>
    <w:basedOn w:val="Normal"/>
    <w:link w:val="EPMChar"/>
    <w:qFormat/>
    <w:rsid w:val="00F305CE"/>
    <w:pPr>
      <w:spacing w:after="0" w:line="360" w:lineRule="auto"/>
      <w:ind w:firstLine="567"/>
      <w:jc w:val="lowKashida"/>
    </w:pPr>
    <w:rPr>
      <w:rFonts w:ascii="Times New Roman" w:eastAsia="Times New Roman" w:hAnsi="Times New Roman" w:cs="Times New Roman"/>
    </w:rPr>
  </w:style>
  <w:style w:type="character" w:customStyle="1" w:styleId="EPMChar">
    <w:name w:val="متن EPM Char"/>
    <w:link w:val="EPM0"/>
    <w:rsid w:val="00F305CE"/>
    <w:rPr>
      <w:rFonts w:ascii="Times New Roman" w:eastAsia="Times New Roman" w:hAnsi="Times New Roman" w:cs="Times New Roman"/>
      <w:sz w:val="28"/>
      <w:szCs w:val="28"/>
      <w:lang w:bidi="fa-IR"/>
    </w:rPr>
  </w:style>
  <w:style w:type="paragraph" w:styleId="BodyText">
    <w:name w:val="Body Text"/>
    <w:basedOn w:val="Normal"/>
    <w:link w:val="BodyTextChar"/>
    <w:uiPriority w:val="99"/>
    <w:semiHidden/>
    <w:unhideWhenUsed/>
    <w:rsid w:val="00F305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05CE"/>
    <w:rPr>
      <w:rFonts w:ascii="B Zar" w:eastAsia="Calibri" w:hAnsi="B Zar" w:cs="B Zar"/>
      <w:sz w:val="28"/>
      <w:szCs w:val="2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h.agharazi</dc:creator>
  <cp:keywords/>
  <dc:description/>
  <cp:lastModifiedBy>h.agharazi</cp:lastModifiedBy>
  <cp:revision>3</cp:revision>
  <dcterms:created xsi:type="dcterms:W3CDTF">2015-09-14T03:38:00Z</dcterms:created>
  <dcterms:modified xsi:type="dcterms:W3CDTF">2015-09-14T03:48:00Z</dcterms:modified>
</cp:coreProperties>
</file>